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CA9DE" w14:textId="77777777" w:rsidR="00170DCF" w:rsidRPr="00776080" w:rsidRDefault="00170DCF" w:rsidP="00170DCF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color w:val="FF0000"/>
          <w:sz w:val="38"/>
          <w:szCs w:val="38"/>
        </w:rPr>
      </w:pPr>
      <w:r w:rsidRPr="00776080">
        <w:rPr>
          <w:rFonts w:ascii="DINNextLTPro-Bold" w:hAnsi="DINNextLTPro-Bold" w:cs="DINNextLTPro-Bold"/>
          <w:b/>
          <w:bCs/>
          <w:color w:val="FF0000"/>
          <w:sz w:val="38"/>
          <w:szCs w:val="38"/>
        </w:rPr>
        <w:t>Dapagliflozin schválen k léčbě chronického</w:t>
      </w:r>
    </w:p>
    <w:p w14:paraId="1F47AF65" w14:textId="521B7A03" w:rsidR="007B6D40" w:rsidRPr="00776080" w:rsidRDefault="00170DCF" w:rsidP="00170DCF">
      <w:pPr>
        <w:rPr>
          <w:rFonts w:ascii="DINNextLTPro-Bold" w:hAnsi="DINNextLTPro-Bold" w:cs="DINNextLTPro-Bold"/>
          <w:b/>
          <w:bCs/>
          <w:color w:val="FF0000"/>
          <w:sz w:val="38"/>
          <w:szCs w:val="38"/>
        </w:rPr>
      </w:pPr>
      <w:r w:rsidRPr="00776080">
        <w:rPr>
          <w:rFonts w:ascii="DINNextLTPro-Bold" w:hAnsi="DINNextLTPro-Bold" w:cs="DINNextLTPro-Bold"/>
          <w:b/>
          <w:bCs/>
          <w:color w:val="FF0000"/>
          <w:sz w:val="38"/>
          <w:szCs w:val="38"/>
        </w:rPr>
        <w:t>onemocnění ledvin u diabetiků i nediabetiků</w:t>
      </w:r>
    </w:p>
    <w:p w14:paraId="0324969E" w14:textId="2DB2D07D" w:rsidR="00170DCF" w:rsidRDefault="00170DCF" w:rsidP="00170DCF">
      <w:pPr>
        <w:rPr>
          <w:rFonts w:ascii="DINNextLTPro-Bold" w:hAnsi="DINNextLTPro-Bold" w:cs="DINNextLTPro-Bold"/>
          <w:b/>
          <w:bCs/>
          <w:color w:val="E95927"/>
          <w:sz w:val="38"/>
          <w:szCs w:val="38"/>
        </w:rPr>
      </w:pPr>
    </w:p>
    <w:p w14:paraId="3FF521E1" w14:textId="68888F2E" w:rsidR="00170DCF" w:rsidRPr="00691FBB" w:rsidRDefault="00776080" w:rsidP="00691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INNextLTPro-Regular" w:hAnsi="Times New Roman" w:cs="Times New Roman"/>
          <w:sz w:val="24"/>
          <w:szCs w:val="24"/>
        </w:rPr>
      </w:pPr>
      <w:r>
        <w:rPr>
          <w:rFonts w:ascii="Times New Roman" w:eastAsia="DINNextLTPro-Regular" w:hAnsi="Times New Roman" w:cs="Times New Roman"/>
          <w:sz w:val="24"/>
          <w:szCs w:val="24"/>
        </w:rPr>
        <w:t>Dne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9. srpna 2021 </w:t>
      </w:r>
      <w:r>
        <w:rPr>
          <w:rFonts w:ascii="Times New Roman" w:eastAsia="DINNextLTPro-Regular" w:hAnsi="Times New Roman" w:cs="Times New Roman"/>
          <w:sz w:val="24"/>
          <w:szCs w:val="24"/>
        </w:rPr>
        <w:t>byl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dapagliflozin (</w:t>
      </w:r>
      <w:r w:rsidR="00E44606">
        <w:rPr>
          <w:rFonts w:ascii="Times New Roman" w:eastAsia="DINNextLTPro-Regular" w:hAnsi="Times New Roman" w:cs="Times New Roman"/>
          <w:sz w:val="24"/>
          <w:szCs w:val="24"/>
        </w:rPr>
        <w:t xml:space="preserve">LP 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Forxiga</w:t>
      </w:r>
      <w:r w:rsidR="00170DCF" w:rsidRPr="00E44606">
        <w:rPr>
          <w:rFonts w:ascii="Times New Roman" w:eastAsia="DINNextLTPro-Regular" w:hAnsi="Times New Roman" w:cs="Times New Roman"/>
          <w:sz w:val="24"/>
          <w:szCs w:val="24"/>
          <w:vertAlign w:val="superscript"/>
        </w:rPr>
        <w:t>R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, AstraZeneca) jako prvn</w:t>
      </w:r>
      <w:r w:rsidR="00E44606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inhibitor SGLT-2 schválen v EU k l</w:t>
      </w:r>
      <w:r w:rsidR="00E44606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čbě chronického onemocnění ledvin (CKD) u dospělých</w:t>
      </w:r>
      <w:r w:rsidR="00E44606">
        <w:rPr>
          <w:rFonts w:ascii="Times New Roman" w:eastAsia="DINNextLTPro-Regular" w:hAnsi="Times New Roman" w:cs="Times New Roman"/>
          <w:sz w:val="24"/>
          <w:szCs w:val="24"/>
        </w:rPr>
        <w:t xml:space="preserve"> pacientů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bez ohledu na přítomnost diabetu 2. typu (DM2). Stalo se tak na z</w:t>
      </w:r>
      <w:r w:rsidR="00E44606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kladě v</w:t>
      </w:r>
      <w:r w:rsidR="00E44606">
        <w:rPr>
          <w:rFonts w:ascii="Times New Roman" w:eastAsia="DINNextLTPro-Regular" w:hAnsi="Times New Roman" w:cs="Times New Roman"/>
          <w:sz w:val="24"/>
          <w:szCs w:val="24"/>
        </w:rPr>
        <w:t>ý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sledků studie DAPA-CKD,</w:t>
      </w:r>
      <w:r w:rsidR="00170DCF" w:rsidRPr="00E44606">
        <w:rPr>
          <w:rFonts w:ascii="Times New Roman" w:eastAsia="DINNextLTPro-Regular" w:hAnsi="Times New Roman" w:cs="Times New Roman"/>
          <w:sz w:val="24"/>
          <w:szCs w:val="24"/>
          <w:vertAlign w:val="superscript"/>
        </w:rPr>
        <w:t>1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ve kter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dapagliflozin (10 mg) v porovn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s placebem sn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žil u pacientů s CKD stadia 2–4 nez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visle na př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tomnosti DM2 l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čen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ý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ch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 xml:space="preserve"> 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ACEI nebo ARB riziko zhoršen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ren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ln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ch funkc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a 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ú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mrt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z kardiovaskul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rn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ch nebo ren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ln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ch př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čin o 39 % (p &lt; 0,0001). Jednalo se o prim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rn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kompozitní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parametr</w:t>
      </w:r>
      <w:r>
        <w:rPr>
          <w:rFonts w:ascii="Times New Roman" w:eastAsia="DINNextLTPro-Regular" w:hAnsi="Times New Roman" w:cs="Times New Roman"/>
          <w:sz w:val="24"/>
          <w:szCs w:val="24"/>
        </w:rPr>
        <w:t>.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</w:t>
      </w:r>
      <w:r>
        <w:rPr>
          <w:rFonts w:ascii="Times New Roman" w:eastAsia="DINNextLTPro-Regular" w:hAnsi="Times New Roman" w:cs="Times New Roman"/>
          <w:sz w:val="24"/>
          <w:szCs w:val="24"/>
        </w:rPr>
        <w:t>Z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horšen</w:t>
      </w:r>
      <w:r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ren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ln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funkce bylo definov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no jako trval</w:t>
      </w:r>
      <w:r>
        <w:rPr>
          <w:rFonts w:ascii="Times New Roman" w:eastAsia="DINNextLTPro-Regular" w:hAnsi="Times New Roman" w:cs="Times New Roman"/>
          <w:sz w:val="24"/>
          <w:szCs w:val="24"/>
        </w:rPr>
        <w:t>é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sn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žen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odhadovan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glomerul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rn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filtrace [eGFR] o ≥ 50 % nebo dosaženi terminálního stadia selh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n</w:t>
      </w:r>
      <w:r w:rsidR="00A15FAF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funkce ledvin. K l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čbě CKD byl již dapagliflozin schv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>len tak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="00170DCF"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v USA.</w:t>
      </w:r>
    </w:p>
    <w:p w14:paraId="2DB38A3B" w14:textId="7AB6C18E" w:rsidR="00170DCF" w:rsidRPr="00691FBB" w:rsidRDefault="00170DCF" w:rsidP="00691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INNextLTPro-Regular" w:hAnsi="Times New Roman" w:cs="Times New Roman"/>
          <w:sz w:val="24"/>
          <w:szCs w:val="24"/>
        </w:rPr>
      </w:pPr>
      <w:r w:rsidRPr="00691FBB">
        <w:rPr>
          <w:rFonts w:ascii="Times New Roman" w:eastAsia="DINNextLTPro-Regular" w:hAnsi="Times New Roman" w:cs="Times New Roman"/>
          <w:sz w:val="24"/>
          <w:szCs w:val="24"/>
        </w:rPr>
        <w:t>Multicentrick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, randomizovan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, dvojitě zaslepen</w:t>
      </w:r>
      <w:r w:rsidR="00776080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studie DAPA-CKD,</w:t>
      </w:r>
      <w:r w:rsidRPr="00A15FAF">
        <w:rPr>
          <w:rFonts w:ascii="Times New Roman" w:eastAsia="DINNextLTPro-Regular" w:hAnsi="Times New Roman" w:cs="Times New Roman"/>
          <w:sz w:val="24"/>
          <w:szCs w:val="24"/>
          <w:vertAlign w:val="superscript"/>
        </w:rPr>
        <w:t>1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kt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erá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prob</w:t>
      </w:r>
      <w:r w:rsidR="000B7C13">
        <w:rPr>
          <w:rFonts w:ascii="Times New Roman" w:eastAsia="DINNextLTPro-Regular" w:hAnsi="Times New Roman" w:cs="Times New Roman"/>
          <w:sz w:val="24"/>
          <w:szCs w:val="24"/>
        </w:rPr>
        <w:t>íhala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ve 21 zem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ch a zařadila 4 304 pacientů, prok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zala tak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sn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žen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celkov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mortality při l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čbě dapagliflozinem v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 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porovn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n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 xml:space="preserve"> 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s placebem o 31 % (p = 0,0035). Bezpečnost a sn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šenlivost dapagliflozinu odpov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daly dř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ve potvrzen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mu bezpečnostn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mu profilu a v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ý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skyt než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douc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ch </w:t>
      </w:r>
      <w:r w:rsidR="005F7D99">
        <w:rPr>
          <w:rFonts w:ascii="Times New Roman" w:eastAsia="DINNextLTPro-Regular" w:hAnsi="Times New Roman" w:cs="Times New Roman"/>
          <w:sz w:val="24"/>
          <w:szCs w:val="24"/>
        </w:rPr>
        <w:t>ú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činků byl srovnateln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ý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s placebem.</w:t>
      </w:r>
    </w:p>
    <w:p w14:paraId="59DCB9BB" w14:textId="50B1310E" w:rsidR="00170DCF" w:rsidRDefault="00170DCF" w:rsidP="00691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INNextLTPro-Regular" w:hAnsi="Times New Roman" w:cs="Times New Roman"/>
          <w:sz w:val="24"/>
          <w:szCs w:val="24"/>
        </w:rPr>
      </w:pPr>
      <w:r w:rsidRPr="00691FBB">
        <w:rPr>
          <w:rFonts w:ascii="Times New Roman" w:eastAsia="DINNextLTPro-Regular" w:hAnsi="Times New Roman" w:cs="Times New Roman"/>
          <w:sz w:val="24"/>
          <w:szCs w:val="24"/>
        </w:rPr>
        <w:t>V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ý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sledky studie DAPA-CKD byly publikov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ny v časopise The New England Journal of Medicine.</w:t>
      </w:r>
      <w:r w:rsidRPr="00691FBB">
        <w:rPr>
          <w:rFonts w:ascii="Times New Roman" w:eastAsia="DINNextLTPro-Regular" w:hAnsi="Times New Roman" w:cs="Times New Roman"/>
          <w:sz w:val="24"/>
          <w:szCs w:val="24"/>
          <w:vertAlign w:val="superscript"/>
        </w:rPr>
        <w:t>1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Dapagliflozin je prvn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peror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ln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inhibitor SGLT-2. Kromě CKD je indikov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n ke zlepšen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glykemick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 xml:space="preserve">é 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kontroly u pacientů s diabetem 2. typu (na z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kladě v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ý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sledků studie DECLARE-TIMI)</w:t>
      </w:r>
      <w:r w:rsidRPr="00776080">
        <w:rPr>
          <w:rFonts w:ascii="Times New Roman" w:eastAsia="DINNextLTPro-Regular" w:hAnsi="Times New Roman" w:cs="Times New Roman"/>
          <w:sz w:val="24"/>
          <w:szCs w:val="24"/>
          <w:vertAlign w:val="superscript"/>
        </w:rPr>
        <w:t>2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a k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 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l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čbě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 xml:space="preserve"> 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symptomatického chronick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ho srdečn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ho selh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se sn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ženou ejekčn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frakc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bez ohledu na př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tomnost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 xml:space="preserve"> 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diabetu (na z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á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kladě v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ý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sledků studie DAPA-HF).</w:t>
      </w:r>
      <w:r w:rsidRPr="00691FBB">
        <w:rPr>
          <w:rFonts w:ascii="Times New Roman" w:eastAsia="DINNextLTPro-Regular" w:hAnsi="Times New Roman" w:cs="Times New Roman"/>
          <w:sz w:val="24"/>
          <w:szCs w:val="24"/>
          <w:vertAlign w:val="superscript"/>
        </w:rPr>
        <w:t>3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Ve sv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nov</w:t>
      </w:r>
      <w:r w:rsidR="00776080">
        <w:rPr>
          <w:rFonts w:ascii="Times New Roman" w:eastAsia="DINNextLTPro-Regular" w:hAnsi="Times New Roman" w:cs="Times New Roman"/>
          <w:sz w:val="24"/>
          <w:szCs w:val="24"/>
        </w:rPr>
        <w:t>é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indikaci </w:t>
      </w:r>
      <w:r w:rsidR="00776080">
        <w:rPr>
          <w:rFonts w:ascii="Times New Roman" w:eastAsia="DINNextLTPro-Regular" w:hAnsi="Times New Roman" w:cs="Times New Roman"/>
          <w:sz w:val="24"/>
          <w:szCs w:val="24"/>
        </w:rPr>
        <w:t>přináší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dapagliflozin 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 xml:space="preserve">lékařům 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př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ležitost zlepšit progn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ó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zu pacientů s chronick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ý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m onemocněn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>m ledvin, ať už maj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či nemaj</w:t>
      </w:r>
      <w:r w:rsidR="00691FBB">
        <w:rPr>
          <w:rFonts w:ascii="Times New Roman" w:eastAsia="DINNextLTPro-Regular" w:hAnsi="Times New Roman" w:cs="Times New Roman"/>
          <w:sz w:val="24"/>
          <w:szCs w:val="24"/>
        </w:rPr>
        <w:t>í</w:t>
      </w:r>
      <w:r w:rsidRPr="00691FBB">
        <w:rPr>
          <w:rFonts w:ascii="Times New Roman" w:eastAsia="DINNextLTPro-Regular" w:hAnsi="Times New Roman" w:cs="Times New Roman"/>
          <w:sz w:val="24"/>
          <w:szCs w:val="24"/>
        </w:rPr>
        <w:t xml:space="preserve"> diabetes 2. typu.</w:t>
      </w:r>
    </w:p>
    <w:p w14:paraId="1E8B90B8" w14:textId="6B3BA06F" w:rsidR="00691FBB" w:rsidRDefault="00691FBB" w:rsidP="00691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INNextLTPro-Regular" w:hAnsi="Times New Roman" w:cs="Times New Roman"/>
          <w:sz w:val="24"/>
          <w:szCs w:val="24"/>
        </w:rPr>
      </w:pPr>
    </w:p>
    <w:p w14:paraId="6986A800" w14:textId="6DE7F492" w:rsidR="00691FBB" w:rsidRDefault="00691FBB" w:rsidP="00691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INNextLTPro-Regular" w:hAnsi="Times New Roman" w:cs="Times New Roman"/>
          <w:sz w:val="24"/>
          <w:szCs w:val="24"/>
        </w:rPr>
      </w:pPr>
    </w:p>
    <w:p w14:paraId="604AEE7D" w14:textId="77777777" w:rsidR="00691FBB" w:rsidRPr="00691FBB" w:rsidRDefault="00691FBB" w:rsidP="00691FBB">
      <w:pPr>
        <w:autoSpaceDE w:val="0"/>
        <w:autoSpaceDN w:val="0"/>
        <w:adjustRightInd w:val="0"/>
        <w:spacing w:after="0" w:line="240" w:lineRule="auto"/>
        <w:rPr>
          <w:rFonts w:ascii="Times New Roman" w:eastAsia="DINNextLTPro-Regular" w:hAnsi="Times New Roman" w:cs="Times New Roman"/>
          <w:sz w:val="16"/>
          <w:szCs w:val="16"/>
        </w:rPr>
      </w:pPr>
      <w:r w:rsidRPr="00691FBB">
        <w:rPr>
          <w:rFonts w:ascii="Times New Roman" w:eastAsia="DINNextLTPro-Regular" w:hAnsi="Times New Roman" w:cs="Times New Roman"/>
          <w:sz w:val="16"/>
          <w:szCs w:val="16"/>
        </w:rPr>
        <w:t>Zdroje:</w:t>
      </w:r>
    </w:p>
    <w:p w14:paraId="266EAE72" w14:textId="16D2B5BA" w:rsidR="00691FBB" w:rsidRPr="00691FBB" w:rsidRDefault="00691FBB" w:rsidP="00691FBB">
      <w:pPr>
        <w:autoSpaceDE w:val="0"/>
        <w:autoSpaceDN w:val="0"/>
        <w:adjustRightInd w:val="0"/>
        <w:spacing w:after="0" w:line="240" w:lineRule="auto"/>
        <w:rPr>
          <w:rFonts w:ascii="Times New Roman" w:eastAsia="DINNextLTPro-Regular" w:hAnsi="Times New Roman" w:cs="Times New Roman"/>
          <w:sz w:val="16"/>
          <w:szCs w:val="16"/>
        </w:rPr>
      </w:pPr>
      <w:r w:rsidRPr="00691FBB">
        <w:rPr>
          <w:rFonts w:ascii="Times New Roman" w:eastAsia="DINNextLTPro-Regular" w:hAnsi="Times New Roman" w:cs="Times New Roman"/>
          <w:sz w:val="16"/>
          <w:szCs w:val="16"/>
        </w:rPr>
        <w:t>1. Heerspink HJL, et al. Dapagliflozin in patients with chronic</w:t>
      </w:r>
      <w:r>
        <w:rPr>
          <w:rFonts w:ascii="Times New Roman" w:eastAsia="DINNextLTPro-Regular" w:hAnsi="Times New Roman" w:cs="Times New Roman"/>
          <w:sz w:val="16"/>
          <w:szCs w:val="16"/>
        </w:rPr>
        <w:t xml:space="preserve"> </w:t>
      </w:r>
      <w:r w:rsidRPr="00691FBB">
        <w:rPr>
          <w:rFonts w:ascii="Times New Roman" w:eastAsia="DINNextLTPro-Regular" w:hAnsi="Times New Roman" w:cs="Times New Roman"/>
          <w:sz w:val="16"/>
          <w:szCs w:val="16"/>
        </w:rPr>
        <w:t>kidney disease. N Engl J Med. 2020; 383(15): 1436–1446.</w:t>
      </w:r>
    </w:p>
    <w:p w14:paraId="51564C17" w14:textId="77777777" w:rsidR="00691FBB" w:rsidRDefault="00691FBB" w:rsidP="00691FBB">
      <w:pPr>
        <w:autoSpaceDE w:val="0"/>
        <w:autoSpaceDN w:val="0"/>
        <w:adjustRightInd w:val="0"/>
        <w:spacing w:after="0" w:line="240" w:lineRule="auto"/>
        <w:rPr>
          <w:rFonts w:ascii="Times New Roman" w:eastAsia="DINNextLTPro-Regular" w:hAnsi="Times New Roman" w:cs="Times New Roman"/>
          <w:sz w:val="16"/>
          <w:szCs w:val="16"/>
        </w:rPr>
      </w:pPr>
      <w:r w:rsidRPr="00691FBB">
        <w:rPr>
          <w:rFonts w:ascii="Times New Roman" w:eastAsia="DINNextLTPro-Regular" w:hAnsi="Times New Roman" w:cs="Times New Roman"/>
          <w:sz w:val="16"/>
          <w:szCs w:val="16"/>
        </w:rPr>
        <w:t>2. Wiviott SD, et al. for the DECLARE-TIMI 58 Investigators.</w:t>
      </w:r>
      <w:r>
        <w:rPr>
          <w:rFonts w:ascii="Times New Roman" w:eastAsia="DINNextLTPro-Regular" w:hAnsi="Times New Roman" w:cs="Times New Roman"/>
          <w:sz w:val="16"/>
          <w:szCs w:val="16"/>
        </w:rPr>
        <w:t xml:space="preserve"> </w:t>
      </w:r>
      <w:r w:rsidRPr="00691FBB">
        <w:rPr>
          <w:rFonts w:ascii="Times New Roman" w:eastAsia="DINNextLTPro-Regular" w:hAnsi="Times New Roman" w:cs="Times New Roman"/>
          <w:sz w:val="16"/>
          <w:szCs w:val="16"/>
        </w:rPr>
        <w:t>Dapagliflozin and cardiovascular outcomes in type-2</w:t>
      </w:r>
      <w:r>
        <w:rPr>
          <w:rFonts w:ascii="Times New Roman" w:eastAsia="DINNextLTPro-Regular" w:hAnsi="Times New Roman" w:cs="Times New Roman"/>
          <w:sz w:val="16"/>
          <w:szCs w:val="16"/>
        </w:rPr>
        <w:t xml:space="preserve"> </w:t>
      </w:r>
      <w:r w:rsidRPr="00691FBB">
        <w:rPr>
          <w:rFonts w:ascii="Times New Roman" w:eastAsia="DINNextLTPro-Regular" w:hAnsi="Times New Roman" w:cs="Times New Roman"/>
          <w:sz w:val="16"/>
          <w:szCs w:val="16"/>
        </w:rPr>
        <w:t>diabetes [article and</w:t>
      </w:r>
    </w:p>
    <w:p w14:paraId="0219BBB3" w14:textId="255A42F4" w:rsidR="00691FBB" w:rsidRPr="00691FBB" w:rsidRDefault="00691FBB" w:rsidP="00691FBB">
      <w:pPr>
        <w:autoSpaceDE w:val="0"/>
        <w:autoSpaceDN w:val="0"/>
        <w:adjustRightInd w:val="0"/>
        <w:spacing w:after="0" w:line="240" w:lineRule="auto"/>
        <w:rPr>
          <w:rFonts w:ascii="Times New Roman" w:eastAsia="DINNextLTPro-Regular" w:hAnsi="Times New Roman" w:cs="Times New Roman"/>
          <w:sz w:val="16"/>
          <w:szCs w:val="16"/>
        </w:rPr>
      </w:pPr>
      <w:r w:rsidRPr="00691FBB">
        <w:rPr>
          <w:rFonts w:ascii="Times New Roman" w:eastAsia="DINNextLTPro-Regular" w:hAnsi="Times New Roman" w:cs="Times New Roman"/>
          <w:sz w:val="16"/>
          <w:szCs w:val="16"/>
        </w:rPr>
        <w:t>supplementary appendix]. N Engl</w:t>
      </w:r>
      <w:r>
        <w:rPr>
          <w:rFonts w:ascii="Times New Roman" w:eastAsia="DINNextLTPro-Regular" w:hAnsi="Times New Roman" w:cs="Times New Roman"/>
          <w:sz w:val="16"/>
          <w:szCs w:val="16"/>
        </w:rPr>
        <w:t xml:space="preserve"> </w:t>
      </w:r>
      <w:r w:rsidRPr="00691FBB">
        <w:rPr>
          <w:rFonts w:ascii="Times New Roman" w:eastAsia="DINNextLTPro-Regular" w:hAnsi="Times New Roman" w:cs="Times New Roman"/>
          <w:sz w:val="16"/>
          <w:szCs w:val="16"/>
        </w:rPr>
        <w:t>J Med. 2019; 380: 347–357.</w:t>
      </w:r>
    </w:p>
    <w:p w14:paraId="769E6671" w14:textId="32854D2D" w:rsidR="00691FBB" w:rsidRPr="00691FBB" w:rsidRDefault="00691FBB" w:rsidP="00691FBB">
      <w:pPr>
        <w:autoSpaceDE w:val="0"/>
        <w:autoSpaceDN w:val="0"/>
        <w:adjustRightInd w:val="0"/>
        <w:spacing w:after="0" w:line="240" w:lineRule="auto"/>
        <w:rPr>
          <w:rFonts w:ascii="Times New Roman" w:eastAsia="DINNextLTPro-Regular" w:hAnsi="Times New Roman" w:cs="Times New Roman"/>
          <w:sz w:val="16"/>
          <w:szCs w:val="16"/>
        </w:rPr>
      </w:pPr>
      <w:r w:rsidRPr="00691FBB">
        <w:rPr>
          <w:rFonts w:ascii="Times New Roman" w:eastAsia="DINNextLTPro-Regular" w:hAnsi="Times New Roman" w:cs="Times New Roman"/>
          <w:sz w:val="16"/>
          <w:szCs w:val="16"/>
        </w:rPr>
        <w:t>3. McMurray J, et al. Dapagliflozin in patients with heart failure</w:t>
      </w:r>
      <w:r>
        <w:rPr>
          <w:rFonts w:ascii="Times New Roman" w:eastAsia="DINNextLTPro-Regular" w:hAnsi="Times New Roman" w:cs="Times New Roman"/>
          <w:sz w:val="16"/>
          <w:szCs w:val="16"/>
        </w:rPr>
        <w:t xml:space="preserve"> </w:t>
      </w:r>
      <w:r w:rsidRPr="00691FBB">
        <w:rPr>
          <w:rFonts w:ascii="Times New Roman" w:eastAsia="DINNextLTPro-Regular" w:hAnsi="Times New Roman" w:cs="Times New Roman"/>
          <w:sz w:val="16"/>
          <w:szCs w:val="16"/>
        </w:rPr>
        <w:t>and reduced ejection fraction. N Engl J Med. 2019;</w:t>
      </w:r>
      <w:r>
        <w:rPr>
          <w:rFonts w:ascii="Times New Roman" w:eastAsia="DINNextLTPro-Regular" w:hAnsi="Times New Roman" w:cs="Times New Roman"/>
          <w:sz w:val="16"/>
          <w:szCs w:val="16"/>
        </w:rPr>
        <w:t xml:space="preserve"> </w:t>
      </w:r>
      <w:r w:rsidRPr="00691FBB">
        <w:rPr>
          <w:rFonts w:ascii="Times New Roman" w:eastAsia="DINNextLTPro-Regular" w:hAnsi="Times New Roman" w:cs="Times New Roman"/>
          <w:sz w:val="16"/>
          <w:szCs w:val="16"/>
        </w:rPr>
        <w:t>381: 1995–2008.</w:t>
      </w:r>
    </w:p>
    <w:sectPr w:rsidR="00691FBB" w:rsidRPr="00691F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INNextLTPro-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DINNextLT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DCF"/>
    <w:rsid w:val="000B7C13"/>
    <w:rsid w:val="00170DCF"/>
    <w:rsid w:val="005F7D99"/>
    <w:rsid w:val="006508DE"/>
    <w:rsid w:val="00691FBB"/>
    <w:rsid w:val="00776080"/>
    <w:rsid w:val="007B6D40"/>
    <w:rsid w:val="00A15FAF"/>
    <w:rsid w:val="00E44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E8EBF"/>
  <w15:chartTrackingRefBased/>
  <w15:docId w15:val="{8FF1C681-4DBF-459F-8A7A-9EA646E57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Jedlinská, Zuzana</dc:creator>
  <cp:keywords/>
  <dc:description/>
  <cp:lastModifiedBy>Jedlinská, Zuzana</cp:lastModifiedBy>
  <cp:revision>5</cp:revision>
  <dcterms:created xsi:type="dcterms:W3CDTF">2021-08-23T11:25:00Z</dcterms:created>
  <dcterms:modified xsi:type="dcterms:W3CDTF">2021-08-23T17:18:00Z</dcterms:modified>
</cp:coreProperties>
</file>