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F5473" w14:textId="591C8EA5" w:rsidR="00E42D41" w:rsidRPr="004B1CA1" w:rsidRDefault="00E42D41" w:rsidP="00E42D41">
      <w:pPr>
        <w:shd w:val="clear" w:color="auto" w:fill="FFFFFF"/>
        <w:spacing w:after="150" w:line="408" w:lineRule="atLeast"/>
        <w:jc w:val="center"/>
        <w:outlineLvl w:val="2"/>
        <w:rPr>
          <w:rFonts w:eastAsia="Times New Roman" w:cstheme="minorHAnsi"/>
          <w:b/>
          <w:bCs/>
          <w:color w:val="04142B"/>
          <w:sz w:val="36"/>
          <w:szCs w:val="36"/>
          <w:lang w:eastAsia="cs-CZ"/>
        </w:rPr>
      </w:pPr>
      <w:r w:rsidRPr="004B1CA1">
        <w:rPr>
          <w:rFonts w:eastAsia="Times New Roman" w:cstheme="minorHAnsi"/>
          <w:b/>
          <w:bCs/>
          <w:color w:val="04142B"/>
          <w:sz w:val="36"/>
          <w:szCs w:val="36"/>
          <w:lang w:eastAsia="cs-CZ"/>
        </w:rPr>
        <w:t>Dapagliflozin (LP Forxiga) od 1.8.2022 hrazen pro léčbu pacientů s chronickým onemocněním ledvin bez ohledu na přítomnost DM2.typu</w:t>
      </w:r>
    </w:p>
    <w:p w14:paraId="30F79E6A" w14:textId="77777777" w:rsidR="00E42D41" w:rsidRPr="004B1CA1" w:rsidRDefault="00E42D41" w:rsidP="00E42D41">
      <w:pPr>
        <w:shd w:val="clear" w:color="auto" w:fill="FFFFFF"/>
        <w:spacing w:after="0" w:line="408" w:lineRule="atLeast"/>
        <w:jc w:val="center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4B1CA1">
        <w:rPr>
          <w:rFonts w:eastAsia="Times New Roman" w:cstheme="minorHAnsi"/>
          <w:b/>
          <w:bCs/>
          <w:i/>
          <w:iCs/>
          <w:sz w:val="24"/>
          <w:szCs w:val="24"/>
          <w:lang w:eastAsia="cs-CZ"/>
        </w:rPr>
        <w:t>Schválení se opírá o indikaci a pozitivní výsledky klinické studie fáze III</w:t>
      </w:r>
      <w:r w:rsidRPr="004B1CA1">
        <w:rPr>
          <w:rFonts w:eastAsia="Times New Roman" w:cstheme="minorHAnsi"/>
          <w:b/>
          <w:bCs/>
          <w:i/>
          <w:iCs/>
          <w:sz w:val="24"/>
          <w:szCs w:val="24"/>
          <w:lang w:eastAsia="cs-CZ"/>
        </w:rPr>
        <w:br/>
        <w:t>DAPA-CKD, které představují nejvýznamnější pokrok v péči o pacienty s chronickým onemocněním ledvin za posledních více než 20 let.</w:t>
      </w:r>
    </w:p>
    <w:p w14:paraId="26850BCC" w14:textId="4B2E5D14" w:rsidR="00E42D41" w:rsidRPr="004B1CA1" w:rsidRDefault="00E42D41" w:rsidP="00E42D41">
      <w:pPr>
        <w:shd w:val="clear" w:color="auto" w:fill="FFFFFF"/>
        <w:spacing w:after="0" w:line="408" w:lineRule="atLeast"/>
        <w:rPr>
          <w:rFonts w:eastAsia="Times New Roman" w:cstheme="minorHAnsi"/>
          <w:sz w:val="24"/>
          <w:szCs w:val="24"/>
          <w:lang w:eastAsia="cs-CZ"/>
        </w:rPr>
      </w:pPr>
      <w:r w:rsidRPr="004B1CA1">
        <w:rPr>
          <w:rFonts w:eastAsia="Times New Roman" w:cstheme="minorHAnsi"/>
          <w:color w:val="848484"/>
          <w:sz w:val="24"/>
          <w:szCs w:val="24"/>
          <w:lang w:eastAsia="cs-CZ"/>
        </w:rPr>
        <w:br/>
      </w:r>
      <w:r w:rsidRPr="004B1CA1">
        <w:rPr>
          <w:rFonts w:eastAsia="Times New Roman" w:cstheme="minorHAnsi"/>
          <w:sz w:val="24"/>
          <w:szCs w:val="24"/>
          <w:lang w:eastAsia="cs-CZ"/>
        </w:rPr>
        <w:t xml:space="preserve">Od </w:t>
      </w:r>
      <w:r w:rsidRPr="004B1CA1">
        <w:rPr>
          <w:rFonts w:eastAsia="Times New Roman" w:cstheme="minorHAnsi"/>
          <w:b/>
          <w:bCs/>
          <w:sz w:val="24"/>
          <w:szCs w:val="24"/>
          <w:lang w:eastAsia="cs-CZ"/>
        </w:rPr>
        <w:t>1. srpna</w:t>
      </w:r>
      <w:r w:rsidRPr="004B1CA1">
        <w:rPr>
          <w:rFonts w:eastAsia="Times New Roman" w:cstheme="minorHAnsi"/>
          <w:sz w:val="24"/>
          <w:szCs w:val="24"/>
          <w:lang w:eastAsia="cs-CZ"/>
        </w:rPr>
        <w:t xml:space="preserve"> letošního roku mohou nefrologové, diabetologové a internisté dapagliflozin 10mg (Forxiga, výrobce AstraZeneca) předepsat</w:t>
      </w:r>
      <w:r w:rsidR="004B1CA1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4B1CA1">
        <w:rPr>
          <w:rFonts w:eastAsia="Times New Roman" w:cstheme="minorHAnsi"/>
          <w:sz w:val="24"/>
          <w:szCs w:val="24"/>
          <w:lang w:eastAsia="cs-CZ"/>
        </w:rPr>
        <w:t>s úhradou pro léčbu dospělých pacientů s chronickým onemocněním ledvin (CKD), a to nezávisle na tom, zda má pacient diabetes 2. typu nebo ne.</w:t>
      </w:r>
      <w:r w:rsidRPr="004B1CA1">
        <w:rPr>
          <w:rFonts w:eastAsia="Times New Roman" w:cstheme="minorHAnsi"/>
          <w:sz w:val="24"/>
          <w:szCs w:val="24"/>
          <w:lang w:eastAsia="cs-CZ"/>
        </w:rPr>
        <w:br/>
        <w:t>Přípravek Forxiga (dapagliflozin 10 mg) od společnosti AstraZeneca, je první inhibitor sodíko-glukózového kotransportéru 2 (SGLT2), který byl před rokem schválen v Evropské unii (EU) pro léčbu chronického onemocnění ledvin (CKD) u dospělých s diabetem typu 2 (DM2) i bez něj.</w:t>
      </w:r>
      <w:r w:rsidRPr="004B1CA1">
        <w:rPr>
          <w:rFonts w:eastAsia="Times New Roman" w:cstheme="minorHAnsi"/>
          <w:sz w:val="24"/>
          <w:szCs w:val="24"/>
          <w:lang w:eastAsia="cs-CZ"/>
        </w:rPr>
        <w:br/>
      </w:r>
      <w:r w:rsidRPr="004B1CA1">
        <w:rPr>
          <w:rFonts w:eastAsia="Times New Roman" w:cstheme="minorHAnsi"/>
          <w:b/>
          <w:bCs/>
          <w:sz w:val="24"/>
          <w:szCs w:val="24"/>
          <w:lang w:eastAsia="cs-CZ"/>
        </w:rPr>
        <w:t>Nyní získává úhradu pro pacienty s CKD v České republice.</w:t>
      </w:r>
      <w:r w:rsidRPr="004B1CA1">
        <w:rPr>
          <w:rFonts w:eastAsia="Times New Roman" w:cstheme="minorHAnsi"/>
          <w:sz w:val="24"/>
          <w:szCs w:val="24"/>
          <w:lang w:eastAsia="cs-CZ"/>
        </w:rPr>
        <w:br/>
        <w:t>Přípravek Forxiga je tak nyní hrazen pro pacienty s diabetem 2. typu, srdečním selháním se sníženou ejekční frakcí a nově i pro pacienty s chronickým onemocněním ledvin.</w:t>
      </w:r>
    </w:p>
    <w:p w14:paraId="592248EE" w14:textId="4D7A645C" w:rsidR="00E42D41" w:rsidRPr="004B1CA1" w:rsidRDefault="00E42D41" w:rsidP="00E42D41">
      <w:pPr>
        <w:shd w:val="clear" w:color="auto" w:fill="FFFFFF"/>
        <w:spacing w:after="0" w:line="408" w:lineRule="atLeast"/>
        <w:rPr>
          <w:rFonts w:eastAsia="Times New Roman" w:cstheme="minorHAnsi"/>
          <w:i/>
          <w:iCs/>
          <w:sz w:val="24"/>
          <w:szCs w:val="24"/>
          <w:lang w:eastAsia="cs-CZ"/>
        </w:rPr>
      </w:pPr>
      <w:r w:rsidRPr="004B1CA1">
        <w:rPr>
          <w:rFonts w:eastAsia="Times New Roman" w:cstheme="minorHAnsi"/>
          <w:b/>
          <w:bCs/>
          <w:sz w:val="24"/>
          <w:szCs w:val="24"/>
          <w:lang w:eastAsia="cs-CZ"/>
        </w:rPr>
        <w:t>Podmínky úhrady pro CKD:</w:t>
      </w:r>
      <w:r w:rsidRPr="004B1CA1">
        <w:rPr>
          <w:rFonts w:eastAsia="Times New Roman" w:cstheme="minorHAnsi"/>
          <w:sz w:val="24"/>
          <w:szCs w:val="24"/>
          <w:lang w:eastAsia="cs-CZ"/>
        </w:rPr>
        <w:br/>
      </w:r>
      <w:r w:rsidRPr="004B1CA1">
        <w:rPr>
          <w:rFonts w:eastAsia="Times New Roman" w:cstheme="minorHAnsi"/>
          <w:i/>
          <w:iCs/>
          <w:sz w:val="24"/>
          <w:szCs w:val="24"/>
          <w:lang w:eastAsia="cs-CZ"/>
        </w:rPr>
        <w:t>Dapagliflozin je hrazen u dospělých pacientů s chronickým onemocněním ledvin s odhadovanou glomerulární filtrací (eGFR) v rozmezí 25–75 ml/min/1,73m2 (0,41-1,25 ml/s) a poměrem albumin/kreatinin v rozmezí 200-5 000 mg/g (22,6-565 g/mol), kteří jsou léčeni stabilní dávkou inhibitoru angiotenzin-konvertujícího enzymu (ACEI), nebo blokátoru receptoru typu 1 pro angiotenzin II (ARB), nebo u kterých je terapie těmito přípravky kontraindikována.</w:t>
      </w:r>
    </w:p>
    <w:p w14:paraId="1354B8AB" w14:textId="77777777" w:rsidR="00E42D41" w:rsidRPr="004B1CA1" w:rsidRDefault="00E42D41" w:rsidP="00E42D41">
      <w:pPr>
        <w:shd w:val="clear" w:color="auto" w:fill="FFFFFF"/>
        <w:spacing w:after="0" w:line="408" w:lineRule="atLeast"/>
        <w:rPr>
          <w:rFonts w:eastAsia="Times New Roman" w:cstheme="minorHAnsi"/>
          <w:sz w:val="24"/>
          <w:szCs w:val="24"/>
          <w:lang w:eastAsia="cs-CZ"/>
        </w:rPr>
      </w:pPr>
      <w:r w:rsidRPr="004B1CA1">
        <w:rPr>
          <w:rFonts w:eastAsia="Times New Roman" w:cstheme="minorHAnsi"/>
          <w:sz w:val="24"/>
          <w:szCs w:val="24"/>
          <w:lang w:eastAsia="cs-CZ"/>
        </w:rPr>
        <w:t>Zdroje:</w:t>
      </w:r>
      <w:r w:rsidRPr="004B1CA1">
        <w:rPr>
          <w:rFonts w:eastAsia="Times New Roman" w:cstheme="minorHAnsi"/>
          <w:sz w:val="24"/>
          <w:szCs w:val="24"/>
          <w:lang w:eastAsia="cs-CZ"/>
        </w:rPr>
        <w:br/>
        <w:t>1. SPC Forxiga</w:t>
      </w:r>
      <w:r w:rsidRPr="004B1CA1">
        <w:rPr>
          <w:rFonts w:eastAsia="Times New Roman" w:cstheme="minorHAnsi"/>
          <w:sz w:val="24"/>
          <w:szCs w:val="24"/>
          <w:lang w:eastAsia="cs-CZ"/>
        </w:rPr>
        <w:br/>
        <w:t>2. Státní ústav pro kontrolu léčiv – </w:t>
      </w:r>
      <w:hyperlink r:id="rId4" w:tgtFrame="_blank" w:history="1">
        <w:r w:rsidRPr="004B1CA1">
          <w:rPr>
            <w:rFonts w:eastAsia="Times New Roman" w:cstheme="minorHAnsi"/>
            <w:sz w:val="24"/>
            <w:szCs w:val="24"/>
            <w:u w:val="single"/>
            <w:lang w:eastAsia="cs-CZ"/>
          </w:rPr>
          <w:t>https://www.sukl.cz/</w:t>
        </w:r>
      </w:hyperlink>
      <w:r w:rsidRPr="004B1CA1">
        <w:rPr>
          <w:rFonts w:eastAsia="Times New Roman" w:cstheme="minorHAnsi"/>
          <w:sz w:val="24"/>
          <w:szCs w:val="24"/>
          <w:lang w:eastAsia="cs-CZ"/>
        </w:rPr>
        <w:br/>
        <w:t>3. ROZHODNUTÍ sp. zn. SUKLS272051/2021, č. j. sukl131805/2022, které nabylo právní moci dnem 13. 7. 2022</w:t>
      </w:r>
    </w:p>
    <w:p w14:paraId="6433C07A" w14:textId="77777777" w:rsidR="00777A25" w:rsidRPr="004B1CA1" w:rsidRDefault="00777A25">
      <w:pPr>
        <w:rPr>
          <w:rFonts w:cstheme="minorHAnsi"/>
        </w:rPr>
      </w:pPr>
    </w:p>
    <w:sectPr w:rsidR="00777A25" w:rsidRPr="004B1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D41"/>
    <w:rsid w:val="004B1CA1"/>
    <w:rsid w:val="00777A25"/>
    <w:rsid w:val="00E4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1BB9E"/>
  <w15:chartTrackingRefBased/>
  <w15:docId w15:val="{B6227875-DC05-469A-B6FD-E811177FF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42D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42D4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trong">
    <w:name w:val="Strong"/>
    <w:basedOn w:val="DefaultParagraphFont"/>
    <w:uiPriority w:val="22"/>
    <w:qFormat/>
    <w:rsid w:val="00E42D41"/>
    <w:rPr>
      <w:b/>
      <w:bCs/>
    </w:rPr>
  </w:style>
  <w:style w:type="paragraph" w:customStyle="1" w:styleId="center">
    <w:name w:val="center"/>
    <w:basedOn w:val="Normal"/>
    <w:rsid w:val="00E42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Emphasis">
    <w:name w:val="Emphasis"/>
    <w:basedOn w:val="DefaultParagraphFont"/>
    <w:uiPriority w:val="20"/>
    <w:qFormat/>
    <w:rsid w:val="00E42D4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42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E42D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ukl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Jedlinská, Zuzana</dc:creator>
  <cp:keywords/>
  <dc:description/>
  <cp:lastModifiedBy>Jedlinská, Zuzana</cp:lastModifiedBy>
  <cp:revision>3</cp:revision>
  <dcterms:created xsi:type="dcterms:W3CDTF">2022-07-31T20:18:00Z</dcterms:created>
  <dcterms:modified xsi:type="dcterms:W3CDTF">2022-07-31T20:29:00Z</dcterms:modified>
</cp:coreProperties>
</file>